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890" w:rsidRDefault="00293890" w:rsidP="006A4218">
      <w:pPr>
        <w:pStyle w:val="Standard"/>
        <w:jc w:val="center"/>
        <w:rPr>
          <w:b/>
        </w:rPr>
      </w:pPr>
      <w:r>
        <w:rPr>
          <w:b/>
        </w:rPr>
        <w:t>Specyfikacja Techniczna</w:t>
      </w:r>
    </w:p>
    <w:p w:rsidR="00293890" w:rsidRPr="006A4218" w:rsidRDefault="00293890">
      <w:pPr>
        <w:pStyle w:val="Standard"/>
      </w:pPr>
      <w:r>
        <w:rPr>
          <w:b/>
        </w:rPr>
        <w:t>Wymagania dotyczące parametrów technicznych, funkcjonalnych, warunków dostaw i gwarancji serwera typu blade.</w:t>
      </w:r>
    </w:p>
    <w:p w:rsidR="00293890" w:rsidRDefault="00293890">
      <w:pPr>
        <w:pStyle w:val="Standard"/>
      </w:pPr>
      <w:r>
        <w:t>Przedmiot zamówienia: jeden serwer do instalacji w obudowie typu blade</w:t>
      </w:r>
    </w:p>
    <w:p w:rsidR="00293890" w:rsidRDefault="00293890">
      <w:pPr>
        <w:pStyle w:val="Textbody"/>
        <w:rPr>
          <w:sz w:val="24"/>
          <w:szCs w:val="24"/>
        </w:rPr>
      </w:pPr>
    </w:p>
    <w:p w:rsidR="00293890" w:rsidRDefault="00293890">
      <w:pPr>
        <w:pStyle w:val="Textbody"/>
      </w:pPr>
      <w:r>
        <w:rPr>
          <w:sz w:val="24"/>
          <w:szCs w:val="24"/>
        </w:rPr>
        <w:t>Opis wymagań technicznych i jakościowych</w:t>
      </w:r>
      <w:r>
        <w:rPr>
          <w:sz w:val="24"/>
          <w:szCs w:val="24"/>
          <w:u w:val="single"/>
        </w:rPr>
        <w:t xml:space="preserve"> serwera</w:t>
      </w:r>
      <w:r>
        <w:rPr>
          <w:sz w:val="24"/>
          <w:szCs w:val="24"/>
        </w:rPr>
        <w:t xml:space="preserve"> :</w:t>
      </w:r>
    </w:p>
    <w:tbl>
      <w:tblPr>
        <w:tblW w:w="9149" w:type="dxa"/>
        <w:tblInd w:w="-1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097"/>
        <w:gridCol w:w="7052"/>
      </w:tblGrid>
      <w:tr w:rsidR="00293890"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b/>
                <w:color w:val="000000"/>
              </w:rPr>
              <w:t>Rodzaj urządzenia</w:t>
            </w:r>
          </w:p>
        </w:tc>
        <w:tc>
          <w:tcPr>
            <w:tcW w:w="7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b/>
              </w:rPr>
              <w:t>serwer do instalacji o obudowie typu blade</w:t>
            </w:r>
          </w:p>
        </w:tc>
      </w:tr>
      <w:tr w:rsidR="00293890"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Procesor</w:t>
            </w:r>
          </w:p>
        </w:tc>
        <w:tc>
          <w:tcPr>
            <w:tcW w:w="7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t>serwer ma być wyposażony w procesory spełniające następujące wymagania:</w:t>
            </w:r>
          </w:p>
          <w:p w:rsidR="00293890" w:rsidRDefault="00293890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>architektura x86 – 64bit</w:t>
            </w:r>
          </w:p>
          <w:p w:rsidR="00293890" w:rsidRDefault="00293890">
            <w:pPr>
              <w:pStyle w:val="ListParagraph"/>
              <w:numPr>
                <w:ilvl w:val="0"/>
                <w:numId w:val="8"/>
              </w:numPr>
              <w:jc w:val="left"/>
            </w:pPr>
            <w:r>
              <w:t>min liczba rdzeni na 1 fizyczny procesor – 16,</w:t>
            </w:r>
          </w:p>
          <w:p w:rsidR="00293890" w:rsidRDefault="00293890">
            <w:pPr>
              <w:pStyle w:val="Standard"/>
            </w:pPr>
            <w:r>
              <w:t>wynik testów PassMark Software Multiple CPU Systems nie gorszy niż 23 057 pkt (wyniki testów publikowane na stronie www.cpubenchmark.net)</w:t>
            </w:r>
          </w:p>
        </w:tc>
      </w:tr>
      <w:tr w:rsidR="00293890"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Ilość procesorów</w:t>
            </w:r>
          </w:p>
        </w:tc>
        <w:tc>
          <w:tcPr>
            <w:tcW w:w="7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t>Zainstalowane dwa procesory.</w:t>
            </w:r>
          </w:p>
        </w:tc>
      </w:tr>
      <w:tr w:rsidR="00293890"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Pamięć RAM</w:t>
            </w:r>
          </w:p>
        </w:tc>
        <w:tc>
          <w:tcPr>
            <w:tcW w:w="7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Serwer musi posiadać minimum 16 slotów na pamięć i zainstalowane 128 GB RAM w modułach po min 32 GB typu RDIMM DDR4-2666 oraz możliwość rozbudowy do minimum 512 GB.</w:t>
            </w:r>
          </w:p>
        </w:tc>
      </w:tr>
      <w:tr w:rsidR="00293890"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t>Karty pamięci Flash</w:t>
            </w:r>
          </w:p>
        </w:tc>
        <w:tc>
          <w:tcPr>
            <w:tcW w:w="7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t>zestaw Dual microSD Flash USB o pojemności min. 8GB realizujące mirroring  (RAID 0)</w:t>
            </w:r>
          </w:p>
        </w:tc>
      </w:tr>
      <w:tr w:rsidR="00293890"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Interfejsy sieciowe (LAN)</w:t>
            </w:r>
          </w:p>
        </w:tc>
        <w:tc>
          <w:tcPr>
            <w:tcW w:w="7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Minimum 2 interfejsy sieciowe Ethernet mogące działać w trybie 10Gb, z możliwością podzielenia każdego interfejsu na 4 wirtualne karty sieciowe (posiadające własne adresy MAC oraz będące widoczne z poziomu systemu operacyjnego jako odrębne fizyczne karty sieciowe). Podział musi być niezależny od zainstalowanego na serwerze systemu operacyjnego/platformy wirtualizacyjnej. Ma wspierać technologię: FCoE,</w:t>
            </w:r>
            <w:r>
              <w:t xml:space="preserve"> </w:t>
            </w:r>
            <w:r>
              <w:rPr>
                <w:color w:val="000000"/>
              </w:rPr>
              <w:t>TCP/IP Offload Engine, hardware-based accelerated iSCSI, iSCSI boot, oraz autowykrywanie 10Gb/1Gb Ethernet. Musi mieć możliwość pracy z zainstalowanymi w slotach 1 i 2  obudowy C7000 przełącznikami VC FlexFabric 10Gb/24-Port Module.</w:t>
            </w:r>
          </w:p>
        </w:tc>
      </w:tr>
      <w:tr w:rsidR="00293890"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Instalacja dodatkowych modułów/kart</w:t>
            </w:r>
          </w:p>
        </w:tc>
        <w:tc>
          <w:tcPr>
            <w:tcW w:w="7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 xml:space="preserve">Serwer musi mieć zainstalowaną kartę mezzanine współpracującą z zainstalowanymi w obudowie C7000 w slotach 5 i 6 przełącznikami </w:t>
            </w:r>
            <w:r>
              <w:t xml:space="preserve">GbE2c Layer 2/3 Ethernet Blade Switch </w:t>
            </w:r>
            <w:r>
              <w:rPr>
                <w:color w:val="000000"/>
              </w:rPr>
              <w:t>i oraz dodatkowo możliwość dodania modułu/karty do komunikacji sieciowej w sieci LAN ( Ethernet 1Gb/10Gb) lub sieci SAN ( FC) lub sieci InfiniBand – Zamawiający nie wymaga dostawy urządzenia z zainstalowanymi dodatkowymi modułami, jednak przewiduje możliwość ich instalacji w przyszłości</w:t>
            </w:r>
          </w:p>
        </w:tc>
      </w:tr>
      <w:tr w:rsidR="00293890">
        <w:tc>
          <w:tcPr>
            <w:tcW w:w="209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Oprogramowanie</w:t>
            </w:r>
          </w:p>
        </w:tc>
        <w:tc>
          <w:tcPr>
            <w:tcW w:w="70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lang/>
              </w:rPr>
              <w:t>Microsoft Windows Server 2019 Standard Academic dla 16 rdzeni szt. 2</w:t>
            </w:r>
          </w:p>
        </w:tc>
      </w:tr>
      <w:tr w:rsidR="00293890">
        <w:tc>
          <w:tcPr>
            <w:tcW w:w="209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Gwarancja</w:t>
            </w:r>
          </w:p>
        </w:tc>
        <w:tc>
          <w:tcPr>
            <w:tcW w:w="70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minimum 3 lata (36 miesięcy) gwarancji producenta na całość zestawu (wszystkie elementy zestawu) w trybie NBD 8x5 (następny dzień roboczy w miejscu instalacji)</w:t>
            </w:r>
          </w:p>
        </w:tc>
      </w:tr>
      <w:tr w:rsidR="00293890"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Wspierane systemy operacyjne</w:t>
            </w:r>
          </w:p>
        </w:tc>
        <w:tc>
          <w:tcPr>
            <w:tcW w:w="7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  <w:lang w:val="en-US"/>
              </w:rPr>
              <w:t>Microsoft Windows 2008 R2, RHEL, SLES, Ubuntu, Debian, VMware vSphere</w:t>
            </w:r>
          </w:p>
        </w:tc>
      </w:tr>
      <w:tr w:rsidR="00293890">
        <w:tc>
          <w:tcPr>
            <w:tcW w:w="2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Default="00293890">
            <w:pPr>
              <w:pStyle w:val="Standard"/>
            </w:pPr>
            <w:r>
              <w:rPr>
                <w:color w:val="000000"/>
              </w:rPr>
              <w:t>Wymagania inne</w:t>
            </w:r>
          </w:p>
        </w:tc>
        <w:tc>
          <w:tcPr>
            <w:tcW w:w="70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93890" w:rsidRPr="006A4218" w:rsidRDefault="00293890">
            <w:pPr>
              <w:pStyle w:val="Standard"/>
              <w:rPr>
                <w:sz w:val="22"/>
                <w:szCs w:val="22"/>
              </w:rPr>
            </w:pPr>
            <w:r w:rsidRPr="006A4218">
              <w:rPr>
                <w:color w:val="000000"/>
                <w:sz w:val="22"/>
                <w:szCs w:val="22"/>
              </w:rPr>
              <w:t xml:space="preserve">Serwer musi posiadać obudowę </w:t>
            </w:r>
            <w:r w:rsidRPr="006A4218">
              <w:rPr>
                <w:b/>
                <w:color w:val="000000"/>
                <w:sz w:val="22"/>
                <w:szCs w:val="22"/>
                <w:u w:val="single"/>
              </w:rPr>
              <w:t>kasetową half-height,</w:t>
            </w:r>
            <w:r w:rsidRPr="006A421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A4218">
              <w:rPr>
                <w:b/>
                <w:color w:val="000000"/>
                <w:sz w:val="22"/>
                <w:szCs w:val="22"/>
                <w:u w:val="single"/>
              </w:rPr>
              <w:t>kompatybilną z obudową na serwery blade HP C7000 (507019-B21) – serwer zainstalowany będzie w posiadanej przez Zamawiającego ww. obudowie.</w:t>
            </w:r>
          </w:p>
          <w:p w:rsidR="00293890" w:rsidRPr="006A4218" w:rsidRDefault="00293890">
            <w:pPr>
              <w:pStyle w:val="Standard"/>
              <w:rPr>
                <w:sz w:val="22"/>
                <w:szCs w:val="22"/>
              </w:rPr>
            </w:pPr>
            <w:r w:rsidRPr="006A4218">
              <w:rPr>
                <w:sz w:val="22"/>
                <w:szCs w:val="22"/>
              </w:rPr>
              <w:t>Sprzęt ma być fabrycznie nowy oraz musi pochodzić z oficjalnego kanału sprzedaży.</w:t>
            </w:r>
          </w:p>
          <w:p w:rsidR="00293890" w:rsidRPr="006A4218" w:rsidRDefault="00293890">
            <w:pPr>
              <w:pStyle w:val="Standard"/>
              <w:rPr>
                <w:sz w:val="22"/>
                <w:szCs w:val="22"/>
              </w:rPr>
            </w:pPr>
            <w:r w:rsidRPr="006A4218">
              <w:rPr>
                <w:sz w:val="22"/>
                <w:szCs w:val="22"/>
              </w:rPr>
              <w:t>Musi posiadać certyfikaty:</w:t>
            </w:r>
          </w:p>
          <w:p w:rsidR="00293890" w:rsidRPr="006A4218" w:rsidRDefault="00293890">
            <w:pPr>
              <w:pStyle w:val="ListParagraph"/>
              <w:numPr>
                <w:ilvl w:val="0"/>
                <w:numId w:val="10"/>
              </w:numPr>
              <w:jc w:val="left"/>
              <w:rPr>
                <w:sz w:val="22"/>
                <w:szCs w:val="22"/>
              </w:rPr>
            </w:pPr>
            <w:r w:rsidRPr="006A4218">
              <w:rPr>
                <w:color w:val="000000"/>
                <w:sz w:val="22"/>
                <w:szCs w:val="22"/>
              </w:rPr>
              <w:t>ISO 9001 dla producenta sprzętu</w:t>
            </w:r>
          </w:p>
          <w:p w:rsidR="00293890" w:rsidRPr="006A4218" w:rsidRDefault="00293890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6A4218">
              <w:rPr>
                <w:color w:val="000000"/>
                <w:sz w:val="22"/>
                <w:szCs w:val="22"/>
              </w:rPr>
              <w:t>Deklarację zgodności CE</w:t>
            </w:r>
          </w:p>
          <w:p w:rsidR="00293890" w:rsidRPr="006A4218" w:rsidRDefault="00293890">
            <w:pPr>
              <w:pStyle w:val="ListParagraph"/>
              <w:numPr>
                <w:ilvl w:val="0"/>
                <w:numId w:val="1"/>
              </w:numPr>
              <w:jc w:val="left"/>
              <w:rPr>
                <w:sz w:val="22"/>
                <w:szCs w:val="22"/>
              </w:rPr>
            </w:pPr>
            <w:r w:rsidRPr="006A4218">
              <w:rPr>
                <w:color w:val="000000"/>
                <w:sz w:val="22"/>
                <w:szCs w:val="22"/>
              </w:rPr>
              <w:t>ENERGY STAR</w:t>
            </w:r>
          </w:p>
          <w:p w:rsidR="00293890" w:rsidRDefault="00293890">
            <w:pPr>
              <w:pStyle w:val="Standard"/>
              <w:rPr>
                <w:color w:val="000000"/>
              </w:rPr>
            </w:pPr>
          </w:p>
        </w:tc>
      </w:tr>
    </w:tbl>
    <w:p w:rsidR="00293890" w:rsidRDefault="00293890">
      <w:pPr>
        <w:pStyle w:val="Standard"/>
      </w:pPr>
    </w:p>
    <w:p w:rsidR="00293890" w:rsidRDefault="00293890">
      <w:pPr>
        <w:pStyle w:val="Standard"/>
      </w:pPr>
    </w:p>
    <w:p w:rsidR="00293890" w:rsidRDefault="00293890">
      <w:pPr>
        <w:pStyle w:val="Standard"/>
      </w:pPr>
      <w:r>
        <w:t>Dostawca oferując urządzenie musi złożyć ofertę spełniające powyższe minimalne wymagania techniczne, jakościowe i gwarancyjne.</w:t>
      </w:r>
    </w:p>
    <w:p w:rsidR="00293890" w:rsidRDefault="00293890">
      <w:pPr>
        <w:pStyle w:val="Standard"/>
      </w:pPr>
    </w:p>
    <w:p w:rsidR="00293890" w:rsidRPr="006A4218" w:rsidRDefault="00293890">
      <w:pPr>
        <w:pStyle w:val="Standard"/>
        <w:jc w:val="both"/>
      </w:pPr>
      <w:r w:rsidRPr="006A4218">
        <w:rPr>
          <w:b/>
          <w:u w:val="single"/>
        </w:rPr>
        <w:t>Wymagania dotyczące oferowanych urządzeń:</w:t>
      </w:r>
    </w:p>
    <w:p w:rsidR="00293890" w:rsidRPr="006A4218" w:rsidRDefault="00293890">
      <w:pPr>
        <w:pStyle w:val="Standard"/>
        <w:jc w:val="both"/>
      </w:pPr>
      <w:r w:rsidRPr="006A4218">
        <w:t>- urządzenia muszą spełniać wymagania techniczne podane w specyfikacji,</w:t>
      </w:r>
    </w:p>
    <w:p w:rsidR="00293890" w:rsidRPr="006A4218" w:rsidRDefault="00293890">
      <w:pPr>
        <w:pStyle w:val="Standard"/>
        <w:jc w:val="both"/>
      </w:pPr>
      <w:r w:rsidRPr="006A4218">
        <w:t>- oferowane urządzenia muszą posiadać certyfikaty CE i ENERGY STAR</w:t>
      </w:r>
      <w:bookmarkStart w:id="0" w:name="_GoBack"/>
      <w:bookmarkEnd w:id="0"/>
      <w:r>
        <w:t>,</w:t>
      </w:r>
    </w:p>
    <w:p w:rsidR="00293890" w:rsidRPr="006A4218" w:rsidRDefault="00293890">
      <w:pPr>
        <w:pStyle w:val="Standard"/>
        <w:jc w:val="both"/>
      </w:pPr>
      <w:r w:rsidRPr="006A4218">
        <w:t>- urządzenia muszą posiadać certyfikaty wymienione w opisie wymagań technicznych i jakościowych (dotyczy ISO 9001),</w:t>
      </w:r>
    </w:p>
    <w:p w:rsidR="00293890" w:rsidRDefault="00293890">
      <w:pPr>
        <w:pStyle w:val="Standard"/>
        <w:jc w:val="both"/>
      </w:pPr>
      <w:r w:rsidRPr="006A4218">
        <w:t>- oferowane urządzenia muszą być oryginalnymi urządzeniami danych producentów i muszą to być produkty fabrycznie nowe nie używane wcześniej w innych projektach, kompletne i gotowe do pracy zgodnie z przeznaczeniem.</w:t>
      </w:r>
    </w:p>
    <w:p w:rsidR="00293890" w:rsidRDefault="00293890">
      <w:pPr>
        <w:pStyle w:val="Default"/>
        <w:tabs>
          <w:tab w:val="left" w:pos="9498"/>
        </w:tabs>
        <w:jc w:val="both"/>
        <w:rPr>
          <w:rFonts w:ascii="Times New Roman" w:hAnsi="Times New Roman" w:cs="Times New Roman"/>
        </w:rPr>
      </w:pPr>
    </w:p>
    <w:p w:rsidR="00293890" w:rsidRDefault="00293890">
      <w:pPr>
        <w:pStyle w:val="Default"/>
        <w:tabs>
          <w:tab w:val="left" w:pos="9498"/>
        </w:tabs>
        <w:jc w:val="both"/>
        <w:rPr>
          <w:rFonts w:ascii="Times New Roman" w:hAnsi="Times New Roman" w:cs="Times New Roman"/>
        </w:rPr>
      </w:pPr>
    </w:p>
    <w:p w:rsidR="00293890" w:rsidRDefault="00293890">
      <w:pPr>
        <w:pStyle w:val="Default"/>
        <w:tabs>
          <w:tab w:val="left" w:pos="9498"/>
        </w:tabs>
        <w:jc w:val="both"/>
      </w:pPr>
      <w:r>
        <w:rPr>
          <w:rFonts w:ascii="Times New Roman" w:hAnsi="Times New Roman" w:cs="Times New Roman"/>
          <w:b/>
          <w:u w:val="single"/>
        </w:rPr>
        <w:t>Wymagania dotyczące dostaw oraz gwarancji: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  <w:b/>
          <w:bCs/>
        </w:rPr>
        <w:t>1. Zamawiający zastrzega sobie prawo ubiegania się o zgodę na zastosowanie stawki podatku VAT w wysokości 0% (zgodnie z Ustawą z dnia 11 marca 2004 r o podatku od towarów i usług – Dz.U z dnia 5 kwietnia 2004 r.),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2. Dostawa musi być zrealizowana w całości, Zamawiający nie dopuszcza dostaw częściowych,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3. Termin dostaw do 2 tygodni od daty przekazania  Wykonawcą potwierdzenia z MNiSW pozwalającego na zastosowania stawki podatku VAT w wysokości 0%),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Wykonawca poinformuje o każdorazowej dostawie z minimum 3 dniowym wyprzedzeniem.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4. Miejsce dostawy: siedziba Uniwersytet Ekonomiczny w Krakowie, ul Rakowicka 27,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31-510 Kraków – Centrum Informatyki, pawilon A,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 xml:space="preserve">5. Urządzenia muszą zostać dostarczone w oryginalnych opakowaniach producenta – oznaczone zgodnie ze specyfikacją. Wykonawca udzieli pełnej gwarancji na oferowany sprzęt. Gwarancja obejmuje wszelkiego rodzaju wady, zarówno materiałowe jak i wykonawcze na okres zgodny z wymogami zawartymi w SIWZ. </w:t>
      </w:r>
      <w:r>
        <w:rPr>
          <w:rFonts w:ascii="Times New Roman" w:hAnsi="Times New Roman" w:cs="Times New Roman"/>
          <w:u w:val="single"/>
        </w:rPr>
        <w:t>Okres gwarancji liczony jest od daty podpisania pozytywnego protokołu odbioru sprzętu.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6. Wykonawca musi zagwarantować bezpośrednim użytkownikom bezpłatną pomoc techniczną, oraz osobisty instruktaż w zakresie obsługi dostarczanego sprzętu przed podpisaniem protokołu odbioru,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7. Wykonawca musi zapewnić w okresie gwarancji pomoc techniczną w rozwiązywaniu pojawiających się trakcie użytkowania problemów,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8. Wykonawca musi zagwarantować możliwość wymiany, w przeciągu jednego miesiąca licząc od daty odbioru, dostarczonego urządzenia na nowe (tego samego producenta i o parametrach zgodnych lub lepszych) jeżeli w trakcie użytkowania stwierdzone zostaną jego wady techniczne,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9. Wykonawca zobowiązany jest dostarczyć wraz z przedmiotem zamówienia Karty gwarancyjne na dostarczony sprzęt,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10. Wykonawca zobowiązuje się w okresie gwarancji do wymiany wadliwego urządzenia na urządzenie wolne od wad (tego samego producenta i o parametrach zgodnych lub lepszych) po dwóch bezskutecznych naprawach gwarancyjnych,</w:t>
      </w:r>
    </w:p>
    <w:p w:rsidR="00293890" w:rsidRDefault="00293890">
      <w:pPr>
        <w:pStyle w:val="Default"/>
        <w:tabs>
          <w:tab w:val="left" w:pos="9498"/>
        </w:tabs>
        <w:jc w:val="both"/>
      </w:pPr>
      <w:r>
        <w:rPr>
          <w:rFonts w:ascii="Times New Roman" w:hAnsi="Times New Roman" w:cs="Times New Roman"/>
        </w:rPr>
        <w:t>11. Naprawy gwarancyjne wykonywane będą w trybie NBD 8x5, w siedzibie zamawiającego (Uniwersytet Ekonomiczny w Krakowie, ul. Rakowicka 27 Kraków). Jeżeli naprawa gwarancyjna nie będzie mogła zostać zrealizowana w siedzibie zamawiającego dostawca zobowiązany jest do jej wykonania na własny koszt bezpośrednio u producenta lub w serwisie posiadającym autoryzację producenta; warunki gwarancji nie mogą ograniczać praw zamawiającego do dokonywania rozbudowy i modyfikacji sprzętu wykonywanych zgodnie z zasadami sztuki. W przypadku, kiedy naprawa nie będzie mogła być zrealizowana w terminie do trzech dni roboczych dostawca musi zapewnić na własny koszt sprzęt zastępczy o parametrach nie gorszych od naprawianego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12. Warunki gwarancji nie mogą nakazywać zamawiającemu przechowywania opakowań w których urządzenia zostaną dostarczone (zamawiający może usunąć opakowania urządzeń po ich dostarczeniu co nie spowoduje utraty gwarancji, a dostarczony sprzęt mimo braku opakowań będzie podlegał usługą gwarancyjnym),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13. Urządzenia muszą być dostarczone kompletne, gotowe do pracy zgodnie z przeznaczeniem. Do zestawów muszą być dołączone wszystkie sterowniki i programy konieczne do konfigurowania, uruchomienia oraz wykorzystania części i podzespołów serwera zgodnie z ich przeznaczeniem,</w:t>
      </w:r>
    </w:p>
    <w:p w:rsidR="00293890" w:rsidRDefault="00293890">
      <w:pPr>
        <w:pStyle w:val="Default"/>
        <w:tabs>
          <w:tab w:val="left" w:pos="9498"/>
        </w:tabs>
        <w:spacing w:after="5"/>
        <w:jc w:val="both"/>
      </w:pPr>
      <w:r>
        <w:rPr>
          <w:rFonts w:ascii="Times New Roman" w:hAnsi="Times New Roman" w:cs="Times New Roman"/>
        </w:rPr>
        <w:t>14. Wykonawca wystawi fakturę (termin płatności 30 dni) po dokonaniu dostaw na podstawie protokołu odbioru; protokół odbioru oraz faktura dostarczone zostaną do siedziby zamawiającego – Wykonawca musi złożyć ofertę w złotych polskich.</w:t>
      </w:r>
    </w:p>
    <w:p w:rsidR="00293890" w:rsidRDefault="00293890">
      <w:pPr>
        <w:pStyle w:val="Default"/>
        <w:tabs>
          <w:tab w:val="left" w:pos="9498"/>
        </w:tabs>
        <w:jc w:val="both"/>
      </w:pPr>
      <w:r>
        <w:rPr>
          <w:rFonts w:ascii="Times New Roman" w:hAnsi="Times New Roman" w:cs="Times New Roman"/>
        </w:rPr>
        <w:t>Warunki gwarancji nie mogą ograniczać praw Zamawiającego do dokonywania rozbudowy i modyfikacji sprzętu wykonywanych zgodnie z zasadami sztuki.</w:t>
      </w:r>
    </w:p>
    <w:p w:rsidR="00293890" w:rsidRDefault="00293890">
      <w:pPr>
        <w:pStyle w:val="Standard"/>
        <w:jc w:val="both"/>
      </w:pPr>
    </w:p>
    <w:sectPr w:rsidR="00293890" w:rsidSect="00B121D2">
      <w:headerReference w:type="default" r:id="rId7"/>
      <w:footerReference w:type="even" r:id="rId8"/>
      <w:footerReference w:type="default" r:id="rId9"/>
      <w:pgSz w:w="11906" w:h="16838"/>
      <w:pgMar w:top="851" w:right="1418" w:bottom="766" w:left="1418" w:header="708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890" w:rsidRDefault="00293890">
      <w:r>
        <w:separator/>
      </w:r>
    </w:p>
  </w:endnote>
  <w:endnote w:type="continuationSeparator" w:id="0">
    <w:p w:rsidR="00293890" w:rsidRDefault="00293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,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90" w:rsidRDefault="00293890" w:rsidP="009F55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3890" w:rsidRDefault="00293890" w:rsidP="006A42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90" w:rsidRDefault="00293890" w:rsidP="009F55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93890" w:rsidRDefault="0029389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890" w:rsidRDefault="00293890">
      <w:r>
        <w:rPr>
          <w:color w:val="000000"/>
        </w:rPr>
        <w:separator/>
      </w:r>
    </w:p>
  </w:footnote>
  <w:footnote w:type="continuationSeparator" w:id="0">
    <w:p w:rsidR="00293890" w:rsidRDefault="00293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890" w:rsidRPr="006A4218" w:rsidRDefault="00293890" w:rsidP="006A4218">
    <w:pPr>
      <w:pStyle w:val="Header"/>
      <w:tabs>
        <w:tab w:val="clear" w:pos="4536"/>
      </w:tabs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>K-DZP-272- 19/18</w:t>
    </w:r>
    <w:r>
      <w:rPr>
        <w:rFonts w:ascii="Calibri" w:hAnsi="Calibri"/>
        <w:i/>
        <w:sz w:val="20"/>
      </w:rPr>
      <w:tab/>
      <w:t>Załącznik nr 8</w:t>
    </w:r>
    <w:r w:rsidRPr="00012EA7">
      <w:rPr>
        <w:rFonts w:ascii="Calibri" w:hAnsi="Calibri"/>
        <w:i/>
        <w:sz w:val="20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B0F6A"/>
    <w:multiLevelType w:val="multilevel"/>
    <w:tmpl w:val="079C6C0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1">
    <w:nsid w:val="4C203412"/>
    <w:multiLevelType w:val="multilevel"/>
    <w:tmpl w:val="8B4AFBE8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2">
    <w:nsid w:val="4F2D49D1"/>
    <w:multiLevelType w:val="multilevel"/>
    <w:tmpl w:val="43B0441A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3">
    <w:nsid w:val="5AB067D5"/>
    <w:multiLevelType w:val="multilevel"/>
    <w:tmpl w:val="2FF8C854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4">
    <w:nsid w:val="5BD42144"/>
    <w:multiLevelType w:val="multilevel"/>
    <w:tmpl w:val="E50207BA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/>
      </w:rPr>
    </w:lvl>
  </w:abstractNum>
  <w:abstractNum w:abstractNumId="5">
    <w:nsid w:val="64F429C0"/>
    <w:multiLevelType w:val="multilevel"/>
    <w:tmpl w:val="D1F88F6C"/>
    <w:styleLink w:val="WWNum4"/>
    <w:lvl w:ilvl="0">
      <w:start w:val="1"/>
      <w:numFmt w:val="none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1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B05"/>
    <w:rsid w:val="00012EA7"/>
    <w:rsid w:val="00034B05"/>
    <w:rsid w:val="000B5BA4"/>
    <w:rsid w:val="000F5B0D"/>
    <w:rsid w:val="00143BFD"/>
    <w:rsid w:val="001B052F"/>
    <w:rsid w:val="0027530B"/>
    <w:rsid w:val="00293890"/>
    <w:rsid w:val="003C1290"/>
    <w:rsid w:val="006A4218"/>
    <w:rsid w:val="00911E48"/>
    <w:rsid w:val="009138B8"/>
    <w:rsid w:val="009B55ED"/>
    <w:rsid w:val="009F55F3"/>
    <w:rsid w:val="00A768E2"/>
    <w:rsid w:val="00B121D2"/>
    <w:rsid w:val="00BE2AE8"/>
    <w:rsid w:val="00BE7DEB"/>
    <w:rsid w:val="00DC7A46"/>
    <w:rsid w:val="00E058B1"/>
    <w:rsid w:val="00E507C1"/>
    <w:rsid w:val="00E87992"/>
    <w:rsid w:val="00F64915"/>
    <w:rsid w:val="00FE2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1D2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B121D2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B121D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B121D2"/>
    <w:rPr>
      <w:b/>
      <w:sz w:val="32"/>
      <w:szCs w:val="20"/>
    </w:rPr>
  </w:style>
  <w:style w:type="paragraph" w:styleId="List">
    <w:name w:val="List"/>
    <w:basedOn w:val="Textbody"/>
    <w:uiPriority w:val="99"/>
    <w:rsid w:val="00B121D2"/>
    <w:rPr>
      <w:rFonts w:cs="Arial"/>
    </w:rPr>
  </w:style>
  <w:style w:type="paragraph" w:styleId="Caption">
    <w:name w:val="caption"/>
    <w:basedOn w:val="Standard"/>
    <w:uiPriority w:val="99"/>
    <w:qFormat/>
    <w:rsid w:val="00B121D2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uiPriority w:val="99"/>
    <w:rsid w:val="00B121D2"/>
    <w:pPr>
      <w:suppressLineNumbers/>
    </w:pPr>
    <w:rPr>
      <w:rFonts w:cs="Arial"/>
    </w:rPr>
  </w:style>
  <w:style w:type="paragraph" w:styleId="Header">
    <w:name w:val="header"/>
    <w:basedOn w:val="Standard"/>
    <w:link w:val="HeaderChar"/>
    <w:uiPriority w:val="99"/>
    <w:rsid w:val="00B121D2"/>
    <w:pPr>
      <w:suppressLineNumbers/>
      <w:tabs>
        <w:tab w:val="center" w:pos="4536"/>
        <w:tab w:val="right" w:pos="9072"/>
      </w:tabs>
    </w:pPr>
    <w:rPr>
      <w:rFonts w:ascii="Arial" w:hAnsi="Arial" w:cs="Ari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507C1"/>
    <w:rPr>
      <w:rFonts w:cs="Mangal"/>
      <w:kern w:val="3"/>
      <w:sz w:val="21"/>
      <w:szCs w:val="21"/>
      <w:lang w:eastAsia="zh-CN" w:bidi="hi-IN"/>
    </w:rPr>
  </w:style>
  <w:style w:type="paragraph" w:styleId="Footer">
    <w:name w:val="footer"/>
    <w:basedOn w:val="Standard"/>
    <w:link w:val="FooterChar"/>
    <w:uiPriority w:val="99"/>
    <w:rsid w:val="00B121D2"/>
    <w:pPr>
      <w:suppressLineNumbers/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507C1"/>
    <w:rPr>
      <w:rFonts w:cs="Mangal"/>
      <w:kern w:val="3"/>
      <w:sz w:val="21"/>
      <w:szCs w:val="21"/>
      <w:lang w:eastAsia="zh-CN" w:bidi="hi-IN"/>
    </w:rPr>
  </w:style>
  <w:style w:type="paragraph" w:customStyle="1" w:styleId="Footnote">
    <w:name w:val="Footnote"/>
    <w:basedOn w:val="Standard"/>
    <w:uiPriority w:val="99"/>
    <w:rsid w:val="00B121D2"/>
    <w:pPr>
      <w:suppressLineNumbers/>
      <w:ind w:left="283" w:hanging="283"/>
    </w:pPr>
    <w:rPr>
      <w:sz w:val="20"/>
      <w:szCs w:val="20"/>
    </w:rPr>
  </w:style>
  <w:style w:type="paragraph" w:styleId="BodyText2">
    <w:name w:val="Body Text 2"/>
    <w:basedOn w:val="Standard"/>
    <w:link w:val="BodyText2Char"/>
    <w:uiPriority w:val="99"/>
    <w:rsid w:val="00B121D2"/>
    <w:pPr>
      <w:spacing w:after="120" w:line="480" w:lineRule="auto"/>
      <w:jc w:val="both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507C1"/>
    <w:rPr>
      <w:rFonts w:cs="Mangal"/>
      <w:kern w:val="3"/>
      <w:sz w:val="21"/>
      <w:szCs w:val="21"/>
      <w:lang w:eastAsia="zh-CN" w:bidi="hi-IN"/>
    </w:rPr>
  </w:style>
  <w:style w:type="paragraph" w:styleId="CommentText">
    <w:name w:val="annotation text"/>
    <w:basedOn w:val="Standard"/>
    <w:link w:val="CommentTextChar"/>
    <w:uiPriority w:val="99"/>
    <w:rsid w:val="00B121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507C1"/>
    <w:rPr>
      <w:rFonts w:cs="Mangal"/>
      <w:kern w:val="3"/>
      <w:sz w:val="18"/>
      <w:szCs w:val="18"/>
      <w:lang w:eastAsia="zh-CN" w:bidi="hi-IN"/>
    </w:rPr>
  </w:style>
  <w:style w:type="paragraph" w:styleId="CommentSubject">
    <w:name w:val="annotation subject"/>
    <w:basedOn w:val="CommentText"/>
    <w:link w:val="CommentSubjectChar"/>
    <w:uiPriority w:val="99"/>
    <w:rsid w:val="00B12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507C1"/>
    <w:rPr>
      <w:b/>
      <w:bCs/>
    </w:rPr>
  </w:style>
  <w:style w:type="paragraph" w:styleId="BalloonText">
    <w:name w:val="Balloon Text"/>
    <w:basedOn w:val="Standard"/>
    <w:link w:val="BalloonTextChar"/>
    <w:uiPriority w:val="99"/>
    <w:rsid w:val="00B121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07C1"/>
    <w:rPr>
      <w:rFonts w:ascii="Times New Roman" w:hAnsi="Times New Roman" w:cs="Mangal"/>
      <w:kern w:val="3"/>
      <w:sz w:val="2"/>
      <w:lang w:eastAsia="zh-CN" w:bidi="hi-IN"/>
    </w:rPr>
  </w:style>
  <w:style w:type="paragraph" w:styleId="ListParagraph">
    <w:name w:val="List Paragraph"/>
    <w:basedOn w:val="Standard"/>
    <w:uiPriority w:val="99"/>
    <w:qFormat/>
    <w:rsid w:val="00B121D2"/>
    <w:pPr>
      <w:ind w:left="720"/>
      <w:jc w:val="both"/>
    </w:pPr>
    <w:rPr>
      <w:szCs w:val="20"/>
    </w:rPr>
  </w:style>
  <w:style w:type="paragraph" w:customStyle="1" w:styleId="Default">
    <w:name w:val="Default"/>
    <w:uiPriority w:val="99"/>
    <w:rsid w:val="00B121D2"/>
    <w:pPr>
      <w:suppressAutoHyphens/>
      <w:autoSpaceDN w:val="0"/>
      <w:textAlignment w:val="baseline"/>
    </w:pPr>
    <w:rPr>
      <w:rFonts w:ascii="Tahoma" w:hAnsi="Tahoma" w:cs="Tahoma"/>
      <w:color w:val="000000"/>
      <w:kern w:val="3"/>
      <w:sz w:val="24"/>
      <w:szCs w:val="24"/>
      <w:lang w:eastAsia="zh-CN"/>
    </w:rPr>
  </w:style>
  <w:style w:type="paragraph" w:customStyle="1" w:styleId="Style21">
    <w:name w:val="Style21"/>
    <w:basedOn w:val="Standard"/>
    <w:uiPriority w:val="99"/>
    <w:rsid w:val="00B121D2"/>
    <w:pPr>
      <w:widowControl w:val="0"/>
      <w:spacing w:line="277" w:lineRule="exact"/>
      <w:ind w:hanging="370"/>
      <w:jc w:val="both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Standard"/>
    <w:uiPriority w:val="99"/>
    <w:rsid w:val="00B121D2"/>
    <w:pPr>
      <w:suppressLineNumbers/>
    </w:pPr>
  </w:style>
  <w:style w:type="paragraph" w:customStyle="1" w:styleId="TableHeading">
    <w:name w:val="Table Heading"/>
    <w:basedOn w:val="TableContents"/>
    <w:uiPriority w:val="99"/>
    <w:rsid w:val="00B121D2"/>
    <w:pPr>
      <w:jc w:val="center"/>
    </w:pPr>
    <w:rPr>
      <w:b/>
      <w:bCs/>
    </w:rPr>
  </w:style>
  <w:style w:type="paragraph" w:customStyle="1" w:styleId="Framecontents">
    <w:name w:val="Frame contents"/>
    <w:basedOn w:val="Standard"/>
    <w:uiPriority w:val="99"/>
    <w:rsid w:val="00B121D2"/>
  </w:style>
  <w:style w:type="character" w:customStyle="1" w:styleId="WW8Num1z0">
    <w:name w:val="WW8Num1z0"/>
    <w:uiPriority w:val="99"/>
    <w:rsid w:val="00B121D2"/>
    <w:rPr>
      <w:rFonts w:ascii="Symbol" w:hAnsi="Symbol"/>
    </w:rPr>
  </w:style>
  <w:style w:type="character" w:customStyle="1" w:styleId="WW8Num2z0">
    <w:name w:val="WW8Num2z0"/>
    <w:uiPriority w:val="99"/>
    <w:rsid w:val="00B121D2"/>
    <w:rPr>
      <w:rFonts w:ascii="Symbol" w:hAnsi="Symbol"/>
    </w:rPr>
  </w:style>
  <w:style w:type="character" w:customStyle="1" w:styleId="WW8Num3z0">
    <w:name w:val="WW8Num3z0"/>
    <w:uiPriority w:val="99"/>
    <w:rsid w:val="00B121D2"/>
    <w:rPr>
      <w:rFonts w:ascii="Symbol" w:hAnsi="Symbol"/>
    </w:rPr>
  </w:style>
  <w:style w:type="character" w:customStyle="1" w:styleId="WW8Num3z1">
    <w:name w:val="WW8Num3z1"/>
    <w:uiPriority w:val="99"/>
    <w:rsid w:val="00B121D2"/>
    <w:rPr>
      <w:rFonts w:ascii="OpenSymbol," w:hAnsi="OpenSymbol,"/>
    </w:rPr>
  </w:style>
  <w:style w:type="character" w:customStyle="1" w:styleId="WW8Num4z0">
    <w:name w:val="WW8Num4z0"/>
    <w:uiPriority w:val="99"/>
    <w:rsid w:val="00B121D2"/>
  </w:style>
  <w:style w:type="character" w:customStyle="1" w:styleId="WW8Num4z1">
    <w:name w:val="WW8Num4z1"/>
    <w:uiPriority w:val="99"/>
    <w:rsid w:val="00B121D2"/>
  </w:style>
  <w:style w:type="character" w:customStyle="1" w:styleId="WW8Num4z2">
    <w:name w:val="WW8Num4z2"/>
    <w:uiPriority w:val="99"/>
    <w:rsid w:val="00B121D2"/>
  </w:style>
  <w:style w:type="character" w:customStyle="1" w:styleId="WW8Num4z3">
    <w:name w:val="WW8Num4z3"/>
    <w:uiPriority w:val="99"/>
    <w:rsid w:val="00B121D2"/>
  </w:style>
  <w:style w:type="character" w:customStyle="1" w:styleId="WW8Num4z4">
    <w:name w:val="WW8Num4z4"/>
    <w:uiPriority w:val="99"/>
    <w:rsid w:val="00B121D2"/>
  </w:style>
  <w:style w:type="character" w:customStyle="1" w:styleId="WW8Num4z5">
    <w:name w:val="WW8Num4z5"/>
    <w:uiPriority w:val="99"/>
    <w:rsid w:val="00B121D2"/>
  </w:style>
  <w:style w:type="character" w:customStyle="1" w:styleId="WW8Num4z6">
    <w:name w:val="WW8Num4z6"/>
    <w:uiPriority w:val="99"/>
    <w:rsid w:val="00B121D2"/>
  </w:style>
  <w:style w:type="character" w:customStyle="1" w:styleId="WW8Num4z7">
    <w:name w:val="WW8Num4z7"/>
    <w:uiPriority w:val="99"/>
    <w:rsid w:val="00B121D2"/>
  </w:style>
  <w:style w:type="character" w:customStyle="1" w:styleId="WW8Num4z8">
    <w:name w:val="WW8Num4z8"/>
    <w:uiPriority w:val="99"/>
    <w:rsid w:val="00B121D2"/>
  </w:style>
  <w:style w:type="character" w:customStyle="1" w:styleId="WW8Num1z1">
    <w:name w:val="WW8Num1z1"/>
    <w:uiPriority w:val="99"/>
    <w:rsid w:val="00B121D2"/>
  </w:style>
  <w:style w:type="character" w:customStyle="1" w:styleId="WW8Num1z2">
    <w:name w:val="WW8Num1z2"/>
    <w:uiPriority w:val="99"/>
    <w:rsid w:val="00B121D2"/>
  </w:style>
  <w:style w:type="character" w:customStyle="1" w:styleId="WW8Num1z3">
    <w:name w:val="WW8Num1z3"/>
    <w:uiPriority w:val="99"/>
    <w:rsid w:val="00B121D2"/>
  </w:style>
  <w:style w:type="character" w:customStyle="1" w:styleId="WW8Num1z4">
    <w:name w:val="WW8Num1z4"/>
    <w:uiPriority w:val="99"/>
    <w:rsid w:val="00B121D2"/>
  </w:style>
  <w:style w:type="character" w:customStyle="1" w:styleId="WW8Num1z5">
    <w:name w:val="WW8Num1z5"/>
    <w:uiPriority w:val="99"/>
    <w:rsid w:val="00B121D2"/>
  </w:style>
  <w:style w:type="character" w:customStyle="1" w:styleId="WW8Num1z6">
    <w:name w:val="WW8Num1z6"/>
    <w:uiPriority w:val="99"/>
    <w:rsid w:val="00B121D2"/>
  </w:style>
  <w:style w:type="character" w:customStyle="1" w:styleId="WW8Num1z7">
    <w:name w:val="WW8Num1z7"/>
    <w:uiPriority w:val="99"/>
    <w:rsid w:val="00B121D2"/>
  </w:style>
  <w:style w:type="character" w:customStyle="1" w:styleId="WW8Num1z8">
    <w:name w:val="WW8Num1z8"/>
    <w:uiPriority w:val="99"/>
    <w:rsid w:val="00B121D2"/>
  </w:style>
  <w:style w:type="character" w:customStyle="1" w:styleId="WW8Num2z1">
    <w:name w:val="WW8Num2z1"/>
    <w:uiPriority w:val="99"/>
    <w:rsid w:val="00B121D2"/>
  </w:style>
  <w:style w:type="character" w:customStyle="1" w:styleId="WW8Num2z2">
    <w:name w:val="WW8Num2z2"/>
    <w:uiPriority w:val="99"/>
    <w:rsid w:val="00B121D2"/>
  </w:style>
  <w:style w:type="character" w:customStyle="1" w:styleId="WW8Num2z3">
    <w:name w:val="WW8Num2z3"/>
    <w:uiPriority w:val="99"/>
    <w:rsid w:val="00B121D2"/>
  </w:style>
  <w:style w:type="character" w:customStyle="1" w:styleId="WW8Num2z4">
    <w:name w:val="WW8Num2z4"/>
    <w:uiPriority w:val="99"/>
    <w:rsid w:val="00B121D2"/>
  </w:style>
  <w:style w:type="character" w:customStyle="1" w:styleId="WW8Num2z5">
    <w:name w:val="WW8Num2z5"/>
    <w:uiPriority w:val="99"/>
    <w:rsid w:val="00B121D2"/>
  </w:style>
  <w:style w:type="character" w:customStyle="1" w:styleId="WW8Num2z6">
    <w:name w:val="WW8Num2z6"/>
    <w:uiPriority w:val="99"/>
    <w:rsid w:val="00B121D2"/>
  </w:style>
  <w:style w:type="character" w:customStyle="1" w:styleId="WW8Num2z7">
    <w:name w:val="WW8Num2z7"/>
    <w:uiPriority w:val="99"/>
    <w:rsid w:val="00B121D2"/>
  </w:style>
  <w:style w:type="character" w:customStyle="1" w:styleId="WW8Num2z8">
    <w:name w:val="WW8Num2z8"/>
    <w:uiPriority w:val="99"/>
    <w:rsid w:val="00B121D2"/>
  </w:style>
  <w:style w:type="character" w:customStyle="1" w:styleId="WW8Num5z0">
    <w:name w:val="WW8Num5z0"/>
    <w:uiPriority w:val="99"/>
    <w:rsid w:val="00B121D2"/>
    <w:rPr>
      <w:rFonts w:ascii="Symbol" w:hAnsi="Symbol"/>
    </w:rPr>
  </w:style>
  <w:style w:type="character" w:customStyle="1" w:styleId="WW8Num5z1">
    <w:name w:val="WW8Num5z1"/>
    <w:uiPriority w:val="99"/>
    <w:rsid w:val="00B121D2"/>
    <w:rPr>
      <w:rFonts w:ascii="Courier New" w:hAnsi="Courier New"/>
    </w:rPr>
  </w:style>
  <w:style w:type="character" w:customStyle="1" w:styleId="WW8Num5z2">
    <w:name w:val="WW8Num5z2"/>
    <w:uiPriority w:val="99"/>
    <w:rsid w:val="00B121D2"/>
    <w:rPr>
      <w:rFonts w:ascii="Wingdings" w:hAnsi="Wingdings"/>
    </w:rPr>
  </w:style>
  <w:style w:type="character" w:customStyle="1" w:styleId="WW8Num6z0">
    <w:name w:val="WW8Num6z0"/>
    <w:uiPriority w:val="99"/>
    <w:rsid w:val="00B121D2"/>
    <w:rPr>
      <w:rFonts w:ascii="Symbol" w:hAnsi="Symbol"/>
    </w:rPr>
  </w:style>
  <w:style w:type="character" w:customStyle="1" w:styleId="WW8Num6z1">
    <w:name w:val="WW8Num6z1"/>
    <w:uiPriority w:val="99"/>
    <w:rsid w:val="00B121D2"/>
    <w:rPr>
      <w:rFonts w:ascii="Courier New" w:hAnsi="Courier New"/>
    </w:rPr>
  </w:style>
  <w:style w:type="character" w:customStyle="1" w:styleId="WW8Num6z2">
    <w:name w:val="WW8Num6z2"/>
    <w:uiPriority w:val="99"/>
    <w:rsid w:val="00B121D2"/>
    <w:rPr>
      <w:rFonts w:ascii="Wingdings" w:hAnsi="Wingdings"/>
    </w:rPr>
  </w:style>
  <w:style w:type="character" w:customStyle="1" w:styleId="WW8Num7z0">
    <w:name w:val="WW8Num7z0"/>
    <w:uiPriority w:val="99"/>
    <w:rsid w:val="00B121D2"/>
    <w:rPr>
      <w:rFonts w:ascii="Symbol" w:hAnsi="Symbol"/>
    </w:rPr>
  </w:style>
  <w:style w:type="character" w:customStyle="1" w:styleId="WW8Num7z1">
    <w:name w:val="WW8Num7z1"/>
    <w:uiPriority w:val="99"/>
    <w:rsid w:val="00B121D2"/>
    <w:rPr>
      <w:rFonts w:ascii="Courier New" w:hAnsi="Courier New"/>
    </w:rPr>
  </w:style>
  <w:style w:type="character" w:customStyle="1" w:styleId="WW8Num7z2">
    <w:name w:val="WW8Num7z2"/>
    <w:uiPriority w:val="99"/>
    <w:rsid w:val="00B121D2"/>
    <w:rPr>
      <w:rFonts w:ascii="Wingdings" w:hAnsi="Wingdings"/>
    </w:rPr>
  </w:style>
  <w:style w:type="character" w:customStyle="1" w:styleId="WW8Num8z0">
    <w:name w:val="WW8Num8z0"/>
    <w:uiPriority w:val="99"/>
    <w:rsid w:val="00B121D2"/>
    <w:rPr>
      <w:rFonts w:ascii="Times New Roman" w:hAnsi="Times New Roman"/>
    </w:rPr>
  </w:style>
  <w:style w:type="character" w:customStyle="1" w:styleId="WW8Num8z1">
    <w:name w:val="WW8Num8z1"/>
    <w:uiPriority w:val="99"/>
    <w:rsid w:val="00B121D2"/>
    <w:rPr>
      <w:rFonts w:ascii="Courier New" w:hAnsi="Courier New"/>
    </w:rPr>
  </w:style>
  <w:style w:type="character" w:customStyle="1" w:styleId="WW8Num8z2">
    <w:name w:val="WW8Num8z2"/>
    <w:uiPriority w:val="99"/>
    <w:rsid w:val="00B121D2"/>
    <w:rPr>
      <w:rFonts w:ascii="Wingdings" w:hAnsi="Wingdings"/>
    </w:rPr>
  </w:style>
  <w:style w:type="character" w:customStyle="1" w:styleId="WW8Num8z3">
    <w:name w:val="WW8Num8z3"/>
    <w:uiPriority w:val="99"/>
    <w:rsid w:val="00B121D2"/>
    <w:rPr>
      <w:rFonts w:ascii="Symbol" w:hAnsi="Symbol"/>
    </w:rPr>
  </w:style>
  <w:style w:type="character" w:customStyle="1" w:styleId="WW8Num9z0">
    <w:name w:val="WW8Num9z0"/>
    <w:uiPriority w:val="99"/>
    <w:rsid w:val="00B121D2"/>
    <w:rPr>
      <w:rFonts w:ascii="Times New Roman" w:hAnsi="Times New Roman"/>
    </w:rPr>
  </w:style>
  <w:style w:type="character" w:customStyle="1" w:styleId="Internetlink">
    <w:name w:val="Internet link"/>
    <w:uiPriority w:val="99"/>
    <w:rsid w:val="00B121D2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B121D2"/>
    <w:rPr>
      <w:rFonts w:cs="Times New Roman"/>
    </w:rPr>
  </w:style>
  <w:style w:type="character" w:customStyle="1" w:styleId="TekstprzypisudolnegoZnak">
    <w:name w:val="Tekst przypisu dolnego Znak"/>
    <w:basedOn w:val="DefaultParagraphFont"/>
    <w:uiPriority w:val="99"/>
    <w:rsid w:val="00B121D2"/>
    <w:rPr>
      <w:rFonts w:cs="Times New Roman"/>
    </w:rPr>
  </w:style>
  <w:style w:type="character" w:customStyle="1" w:styleId="FootnoteSymbol">
    <w:name w:val="Footnote Symbol"/>
    <w:uiPriority w:val="99"/>
    <w:rsid w:val="00B121D2"/>
    <w:rPr>
      <w:position w:val="0"/>
      <w:vertAlign w:val="superscript"/>
    </w:rPr>
  </w:style>
  <w:style w:type="character" w:customStyle="1" w:styleId="TekstpodstawowyZnak">
    <w:name w:val="Tekst podstawowy Znak"/>
    <w:uiPriority w:val="99"/>
    <w:rsid w:val="00B121D2"/>
    <w:rPr>
      <w:b/>
      <w:sz w:val="32"/>
    </w:rPr>
  </w:style>
  <w:style w:type="character" w:customStyle="1" w:styleId="Tekstpodstawowy2Znak">
    <w:name w:val="Tekst podstawowy 2 Znak"/>
    <w:uiPriority w:val="99"/>
    <w:rsid w:val="00B121D2"/>
    <w:rPr>
      <w:sz w:val="24"/>
    </w:rPr>
  </w:style>
  <w:style w:type="character" w:styleId="CommentReference">
    <w:name w:val="annotation reference"/>
    <w:basedOn w:val="DefaultParagraphFont"/>
    <w:uiPriority w:val="99"/>
    <w:rsid w:val="00B121D2"/>
    <w:rPr>
      <w:rFonts w:cs="Times New Roman"/>
      <w:sz w:val="16"/>
    </w:rPr>
  </w:style>
  <w:style w:type="character" w:customStyle="1" w:styleId="TekstkomentarzaZnak">
    <w:name w:val="Tekst komentarza Znak"/>
    <w:basedOn w:val="DefaultParagraphFont"/>
    <w:uiPriority w:val="99"/>
    <w:rsid w:val="00B121D2"/>
    <w:rPr>
      <w:rFonts w:cs="Times New Roman"/>
    </w:rPr>
  </w:style>
  <w:style w:type="character" w:customStyle="1" w:styleId="TematkomentarzaZnak">
    <w:name w:val="Temat komentarza Znak"/>
    <w:uiPriority w:val="99"/>
    <w:rsid w:val="00B121D2"/>
    <w:rPr>
      <w:b/>
    </w:rPr>
  </w:style>
  <w:style w:type="character" w:customStyle="1" w:styleId="TekstdymkaZnak">
    <w:name w:val="Tekst dymka Znak"/>
    <w:uiPriority w:val="99"/>
    <w:rsid w:val="00B121D2"/>
    <w:rPr>
      <w:rFonts w:ascii="Segoe UI" w:hAnsi="Segoe UI"/>
      <w:sz w:val="18"/>
    </w:rPr>
  </w:style>
  <w:style w:type="character" w:customStyle="1" w:styleId="BulletSymbols">
    <w:name w:val="Bullet Symbols"/>
    <w:uiPriority w:val="99"/>
    <w:rsid w:val="00B121D2"/>
    <w:rPr>
      <w:rFonts w:ascii="OpenSymbol," w:hAnsi="OpenSymbol,"/>
    </w:rPr>
  </w:style>
  <w:style w:type="character" w:customStyle="1" w:styleId="ListLabel1">
    <w:name w:val="ListLabel 1"/>
    <w:uiPriority w:val="99"/>
    <w:rsid w:val="00B121D2"/>
  </w:style>
  <w:style w:type="character" w:customStyle="1" w:styleId="ListLabel2">
    <w:name w:val="ListLabel 2"/>
    <w:uiPriority w:val="99"/>
    <w:rsid w:val="00B121D2"/>
  </w:style>
  <w:style w:type="numbering" w:customStyle="1" w:styleId="WWNum1">
    <w:name w:val="WWNum1"/>
    <w:rsid w:val="00FE5471"/>
    <w:pPr>
      <w:numPr>
        <w:numId w:val="1"/>
      </w:numPr>
    </w:pPr>
  </w:style>
  <w:style w:type="numbering" w:customStyle="1" w:styleId="WWNum5">
    <w:name w:val="WWNum5"/>
    <w:rsid w:val="00FE5471"/>
    <w:pPr>
      <w:numPr>
        <w:numId w:val="5"/>
      </w:numPr>
    </w:pPr>
  </w:style>
  <w:style w:type="numbering" w:customStyle="1" w:styleId="WWNum6">
    <w:name w:val="WWNum6"/>
    <w:rsid w:val="00FE5471"/>
    <w:pPr>
      <w:numPr>
        <w:numId w:val="6"/>
      </w:numPr>
    </w:pPr>
  </w:style>
  <w:style w:type="numbering" w:customStyle="1" w:styleId="WWNum2">
    <w:name w:val="WWNum2"/>
    <w:rsid w:val="00FE5471"/>
    <w:pPr>
      <w:numPr>
        <w:numId w:val="2"/>
      </w:numPr>
    </w:pPr>
  </w:style>
  <w:style w:type="numbering" w:customStyle="1" w:styleId="WWNum3">
    <w:name w:val="WWNum3"/>
    <w:rsid w:val="00FE5471"/>
    <w:pPr>
      <w:numPr>
        <w:numId w:val="3"/>
      </w:numPr>
    </w:pPr>
  </w:style>
  <w:style w:type="numbering" w:customStyle="1" w:styleId="WWNum4">
    <w:name w:val="WWNum4"/>
    <w:rsid w:val="00FE5471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1022</Words>
  <Characters>6137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B  OFERTA (wypełniają oferenci składający ofertę dla zadania 2)</dc:title>
  <dc:subject/>
  <dc:creator>Jan Dudek</dc:creator>
  <cp:keywords/>
  <dc:description/>
  <cp:lastModifiedBy>zubelm</cp:lastModifiedBy>
  <cp:revision>8</cp:revision>
  <cp:lastPrinted>2015-06-23T13:24:00Z</cp:lastPrinted>
  <dcterms:created xsi:type="dcterms:W3CDTF">2018-11-09T11:38:00Z</dcterms:created>
  <dcterms:modified xsi:type="dcterms:W3CDTF">2018-12-04T08:45:00Z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Uniwersytet Ekonomiczny w Krakowie</vt:lpwstr>
  </property>
  <property fmtid="{D5CDD505-2E9C-101B-9397-08002B2CF9AE}" pid="4" name="DocSecurity">
    <vt:r8>1.67560950852885E-295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